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b/>
          <w:bCs/>
          <w:color w:val="424242"/>
          <w:sz w:val="25"/>
        </w:rPr>
        <w:t>Краткое описание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 задачи топливно-транспортного цеха рис </w:t>
      </w:r>
      <w:r w:rsidRPr="00DF58D8">
        <w:rPr>
          <w:rFonts w:ascii="Verdana" w:eastAsia="Times New Roman" w:hAnsi="Verdana" w:cs="Times New Roman"/>
          <w:b/>
          <w:bCs/>
          <w:color w:val="424242"/>
          <w:sz w:val="25"/>
        </w:rPr>
        <w:t>(1-16)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 (далее по тексту ТТЦ) ТЭЦ входят: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- бесперебойная работа железнодорожного транспорта и механизированная разгрузка железнодорожных вагонов и цистерн в установленные сроки;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- приемка топлива от поставщиков и 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контроль за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его количеством и качеством;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- своевременная и бесперебойная 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подготовка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и подача топлива в котельную;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- хранение установленного запаса топлива при минимальных потерях.</w:t>
      </w:r>
    </w:p>
    <w:p w:rsidR="00DF58D8" w:rsidRPr="00DF58D8" w:rsidRDefault="00DF58D8" w:rsidP="00DF58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8D8">
        <w:rPr>
          <w:rFonts w:ascii="Tahoma" w:eastAsia="Times New Roman" w:hAnsi="Tahoma" w:cs="Tahoma"/>
          <w:color w:val="424242"/>
          <w:sz w:val="25"/>
          <w:szCs w:val="25"/>
        </w:rPr>
        <w:br/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3pt;height:24.3pt"/>
        </w:pic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b/>
          <w:bCs/>
          <w:color w:val="424242"/>
          <w:sz w:val="25"/>
        </w:rPr>
        <w:t>Рис 1-16 ТТЦ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pict>
          <v:shape id="_x0000_i1026" type="#_x0000_t75" alt="" style="width:24.3pt;height:24.3pt"/>
        </w:pic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b/>
          <w:bCs/>
          <w:color w:val="424242"/>
          <w:sz w:val="25"/>
        </w:rPr>
        <w:t>Рис. 1-17 Схема тракта топливоподачи</w:t>
      </w:r>
    </w:p>
    <w:p w:rsidR="00DF58D8" w:rsidRPr="00DF58D8" w:rsidRDefault="00DF58D8" w:rsidP="00DF58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8D8">
        <w:rPr>
          <w:rFonts w:ascii="Tahoma" w:eastAsia="Times New Roman" w:hAnsi="Tahoma" w:cs="Tahoma"/>
          <w:color w:val="424242"/>
          <w:sz w:val="25"/>
          <w:szCs w:val="25"/>
        </w:rPr>
        <w:br/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На территории ТТЦ находятся следующие здания и сооружения: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· здание размораживающего устройства;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· здание технического осмотра ж/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д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вагонов (ПТО вагонов) в районе ж/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д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пути № 5. В этом помещении работают весовщики, которые производят обработку документов, производят перевеску поступающего в вагонах и цистернах топлива. Там же стоят в резерве насосы для осевого масла, находится РУСН для мачт освещения ж/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д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путей станции;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· административно-бытовой корпус ТТЦ (АБК) - трехэтажное здание возле эстакады I подъёма ТТЦ. На первом этаже расположены душевые, на втором этаже - кабинеты и душевые, на третьем этаже находятся лаборатория ЦТАИ, санитарно-промышленная лаборатория, комнаты мастеров, тех. класс;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lastRenderedPageBreak/>
        <w:t xml:space="preserve">· склад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горючесмазочных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материалов (ГСМ) и топливно-заправочный пункт (ТЗП) участка тяжелой механизации (УТМ), включающие в себя комплекс сооружений с двумя топливораздаточными колонками и складом хранения дизельного топлива в 11 металлических резервуарах: четырех подземных (80, 60 и 2 × 15 м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  <w:vertAlign w:val="superscript"/>
        </w:rPr>
        <w:t>3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) и семи наземных (2 × 50 и 5 × 25 м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  <w:vertAlign w:val="superscript"/>
        </w:rPr>
        <w:t>3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) общей емкостью 395 м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  <w:vertAlign w:val="superscript"/>
        </w:rPr>
        <w:t>3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.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Заполнение емкостей ведется 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с ж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/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д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цистерн. Технологическое назначение ТЗП - обеспечение топливом бульдозеров и тепловозов (маневровые работы);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· гараж бульдозеров и мастерская УТМ (ремонт дорожно-строительных машин и тракторов);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· мастерская ТТЦ (ремонт оборудования тракта топливоподачи);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· 7 мачт освещения подъездных ж/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д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путей на территории ВТЭЦ-2: 5 мачт с прожекторами, на каждой мачте по 4 лампы мощностью 500 Вт каждая и 2 мачты с осветительными устройствами "Сириус", одна из которых расположена рядом с ПТО вагонов (оснащена лампами ДЭРЛ (6 шт. по 1000 Вт) и прожекторами с лампами (2 шт. по 400 Вт), вторая - у угольного склада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(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6 ламп ДЭРЛ по 1000 Вт);</w:t>
      </w:r>
      <w:proofErr w:type="gramEnd"/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· здание лаборатории входного контроля топлива (угля). В помещении установлены: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проборазделочная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машина МПЛ для измельчения угля до 3 мм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., 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сушильные шкафы для сушки угля,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проборазделочная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машина ПА для получения аналитической пробы угля с размером кусков до 0,2 мм. Вагончик, расположенный возле размораживающего устройства, является резервным (в нем размещена дополнительная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проборазделочная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машина МПЛ).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Подъездной путь ВТЭЦ-2 </w:t>
      </w:r>
      <w:r w:rsidRPr="00DF58D8">
        <w:rPr>
          <w:rFonts w:ascii="Verdana" w:eastAsia="Times New Roman" w:hAnsi="Verdana" w:cs="Times New Roman"/>
          <w:b/>
          <w:bCs/>
          <w:color w:val="424242"/>
          <w:sz w:val="25"/>
        </w:rPr>
        <w:t>(рис 1-20)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находится на балансе «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Ветвладельца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». Подача вагонов на приемосдаточный путь и уборка на станцию Гайдамак производится локомотивом железной дороги, 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оборудованном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маневровой радиосвязью. Маневровая работа на внутристанционных путях ВТЭЦ-2 производится локомотивами «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Ветвладельца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» по распоряжению начальника смены ТТЦ. На балансе «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Ветвладельца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» имеется три локомотива серии ТЭМ-2, обслуживаемые машинистом и составительской бригадой (два человека). Составительские бригады и локомотивы обеспечены маневровой радиосвязью.</w:t>
      </w:r>
    </w:p>
    <w:p w:rsidR="00DF58D8" w:rsidRPr="00DF58D8" w:rsidRDefault="00DF58D8" w:rsidP="00DF58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F58D8" w:rsidRPr="00DF58D8" w:rsidRDefault="00DF58D8" w:rsidP="00DF58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Всё поступающее на ВТЭЦ-2 топливо учитывается. Вагоны с углем взвешивают на электронных весах типа ВЭД-120 (без расцепки вагонов </w:t>
      </w:r>
      <w:proofErr w:type="spellStart"/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c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о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скоростью 5 км/ч) и весах механических. Электронные 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lastRenderedPageBreak/>
        <w:t>весы установлены посередине 1-го пути, из-за чего много времени тратится на маневровую работу по перестановке с 3-го пути. При норме разгрузки 88 вагонов за 12 часов ТТЦ ВТЭЦ-2 обеспечивает за это время разгрузку 110-120 вагонов.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Ежесуточно инженер ТТЦ ведет запись отгруженного в адрес ВТЭЦ-2 угля от всех поставщиков. Железнодорожная станция Гайдамак за 2 часа уведомляет о прибытии в адрес ВТЭЦ-2 угля весовщика-приемщика. Весовщики-приемщики осуществляют перевеску поступившего угля на электронных, либо механических весах, на что составляются акты-приемки угля по количеству, либо выдается распечатка с принтера электронных весов.</w:t>
      </w:r>
    </w:p>
    <w:p w:rsidR="00DF58D8" w:rsidRPr="00DF58D8" w:rsidRDefault="00DF58D8" w:rsidP="00DF58D8">
      <w:pPr>
        <w:spacing w:after="0" w:line="251" w:lineRule="atLeast"/>
        <w:jc w:val="center"/>
        <w:textAlignment w:val="top"/>
        <w:rPr>
          <w:rFonts w:ascii="Times New Roman" w:eastAsia="Times New Roman" w:hAnsi="Times New Roman" w:cs="Tahoma"/>
          <w:color w:val="000077"/>
          <w:sz w:val="24"/>
          <w:szCs w:val="24"/>
        </w:rPr>
      </w:pPr>
      <w:r w:rsidRPr="00DF58D8">
        <w:rPr>
          <w:rFonts w:ascii="Tahoma" w:eastAsia="Times New Roman" w:hAnsi="Tahoma" w:cs="Tahoma"/>
          <w:color w:val="424242"/>
          <w:sz w:val="25"/>
          <w:szCs w:val="25"/>
        </w:rPr>
        <w:fldChar w:fldCharType="begin"/>
      </w:r>
      <w:r w:rsidRPr="00DF58D8">
        <w:rPr>
          <w:rFonts w:ascii="Tahoma" w:eastAsia="Times New Roman" w:hAnsi="Tahoma" w:cs="Tahoma"/>
          <w:color w:val="424242"/>
          <w:sz w:val="25"/>
          <w:szCs w:val="25"/>
        </w:rPr>
        <w:instrText xml:space="preserve"> HYPERLINK "https://www.steepto.com/ghits/10423346/i/75867/0/pp/1/1?h=KSh6PVzfZnPXUulIQeSpnaRJbrPZkTTbFypBPB3UEJJSmxwKeAhVW4WDHbe82oTn&amp;rid=25181e71-105a-11ec-851f-d094662c1c35&amp;ts=yandex.kz&amp;tt=Organic&amp;att=2&amp;cpm=1&amp;gbpp=1&amp;abd=1&amp;iv=10&amp;ct=6&amp;k=348499fcjG3PNNZScffXvDle89fXvDmIOLffMzE3*DMxMA%3D%3Df!fIf%3Dfv%3BffMzIxLjI2NTYyNXwxOA%3D%3DffffQf%3AfaHR0cHM6Ly9teWJpYmxpb3Rla2Euc3UvdG9tMi85LTEyNTk1Lmh0bWw%3DfaHR0cHM6Ly95YW5kZXgua3ovfaHR0cHM6Ly95YW5kZXgua3ovf*fMzE3*DE5MzZ8OHwyMDA0fMHww*DB8MQ%3D%3DfMHwwf!fcfMTh8MzIx*Dh8Mzc4fVWfMAfXvDl.Omf!fTW96aWxsY%2481LjAgKFdpbmRvd3MgTlQgNi4zOyBXaW42NDsgeDY0K%24BBcHBsZVdlYktpdC81MzcuMzYgKEtIVE1MLCBsaWtlIEdlY2tvK%24BDaHJvbWUvOTMuMC40NTc3LjYzIFNhZmFya%2481MzcuMzY%3DfQ2hyb21lUERGUGx1Z2lu*ENocm9tZVBERlZpZXdlcnxOYXRpdmVDbGllbnQ%3DffV2luMzI%3DfMzYwfMXwxMDA%3DfMTM2Nnw3Mjg%3DfdW5rbm93bnw0Z3wwf!f!fQff*f*&amp;crst=1631074110&amp;wrst=1631074155&amp;muid=l87tTEVHwi6l" \t "_blank" </w:instrText>
      </w:r>
      <w:r w:rsidRPr="00DF58D8">
        <w:rPr>
          <w:rFonts w:ascii="Tahoma" w:eastAsia="Times New Roman" w:hAnsi="Tahoma" w:cs="Tahoma"/>
          <w:color w:val="424242"/>
          <w:sz w:val="25"/>
          <w:szCs w:val="25"/>
        </w:rPr>
        <w:fldChar w:fldCharType="separate"/>
      </w:r>
    </w:p>
    <w:p w:rsidR="00DF58D8" w:rsidRPr="00DF58D8" w:rsidRDefault="00DF58D8" w:rsidP="00DF58D8">
      <w:pPr>
        <w:spacing w:after="0" w:line="251" w:lineRule="atLeast"/>
        <w:jc w:val="center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</w:p>
    <w:p w:rsidR="00DF58D8" w:rsidRPr="00DF58D8" w:rsidRDefault="00DF58D8" w:rsidP="00DF58D8">
      <w:pPr>
        <w:spacing w:after="0" w:line="251" w:lineRule="atLeast"/>
        <w:jc w:val="center"/>
        <w:textAlignment w:val="top"/>
        <w:rPr>
          <w:rFonts w:ascii="Tahoma" w:eastAsia="Times New Roman" w:hAnsi="Tahoma" w:cs="Tahoma"/>
          <w:color w:val="424242"/>
          <w:sz w:val="25"/>
          <w:szCs w:val="25"/>
        </w:rPr>
      </w:pPr>
      <w:r w:rsidRPr="00DF58D8">
        <w:rPr>
          <w:rFonts w:ascii="Tahoma" w:eastAsia="Times New Roman" w:hAnsi="Tahoma" w:cs="Tahoma"/>
          <w:color w:val="424242"/>
          <w:sz w:val="25"/>
          <w:szCs w:val="25"/>
        </w:rPr>
        <w:fldChar w:fldCharType="end"/>
      </w:r>
    </w:p>
    <w:p w:rsidR="00DF58D8" w:rsidRPr="00DF58D8" w:rsidRDefault="00DF58D8" w:rsidP="00DF58D8">
      <w:pPr>
        <w:spacing w:after="0" w:line="251" w:lineRule="atLeast"/>
        <w:jc w:val="center"/>
        <w:textAlignment w:val="top"/>
        <w:rPr>
          <w:rFonts w:ascii="Tahoma" w:eastAsia="Times New Roman" w:hAnsi="Tahoma" w:cs="Tahoma"/>
          <w:color w:val="424242"/>
          <w:sz w:val="25"/>
          <w:szCs w:val="25"/>
        </w:rPr>
      </w:pPr>
      <w:hyperlink r:id="rId4" w:tgtFrame="_blank" w:history="1">
        <w:r w:rsidRPr="00DF58D8">
          <w:rPr>
            <w:rFonts w:ascii="Arial" w:eastAsia="Times New Roman" w:hAnsi="Arial" w:cs="Arial"/>
            <w:caps/>
            <w:color w:val="FFFFFF"/>
            <w:sz w:val="20"/>
          </w:rPr>
          <w:t>ПОДРОБНЕЕ</w:t>
        </w:r>
      </w:hyperlink>
    </w:p>
    <w:p w:rsidR="00DF58D8" w:rsidRPr="00DF58D8" w:rsidRDefault="00DF58D8" w:rsidP="00DF58D8">
      <w:pPr>
        <w:spacing w:after="113" w:line="251" w:lineRule="atLeast"/>
        <w:jc w:val="center"/>
        <w:textAlignment w:val="top"/>
        <w:rPr>
          <w:rFonts w:ascii="Tahoma" w:eastAsia="Times New Roman" w:hAnsi="Tahoma" w:cs="Tahoma"/>
          <w:color w:val="424242"/>
          <w:sz w:val="25"/>
          <w:szCs w:val="25"/>
        </w:rPr>
      </w:pPr>
      <w:hyperlink r:id="rId5" w:tgtFrame="_blank" w:history="1">
        <w:r w:rsidRPr="00DF58D8">
          <w:rPr>
            <w:rFonts w:ascii="Arial" w:eastAsia="Times New Roman" w:hAnsi="Arial" w:cs="Arial"/>
            <w:color w:val="AAAAAA"/>
            <w:sz w:val="18"/>
          </w:rPr>
          <w:t>M24</w:t>
        </w:r>
      </w:hyperlink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Взвешивается все поступившее топливо, за исключением дней, когда идут ливневые дожди, снегопады, либо когда весы находятся в ремонте.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Обработку и анализ проб топлива производит химический цех. Результаты анализов качества топлива фиксируются в журналах.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Имеется два типа размораживающих устройств: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· 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конвективное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,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двухпутное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, длиной 120 м на 16 четырехосных вагона, использующее пар 13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ата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от коллектора собственных нужд котельного цеха;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· с авиационными двигателями на путях надвига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вагоноопрокидывателя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ст. № 1.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Топливоподача </w:t>
      </w:r>
      <w:r w:rsidRPr="00DF58D8">
        <w:rPr>
          <w:rFonts w:ascii="Verdana" w:eastAsia="Times New Roman" w:hAnsi="Verdana" w:cs="Times New Roman"/>
          <w:b/>
          <w:bCs/>
          <w:color w:val="424242"/>
          <w:sz w:val="25"/>
        </w:rPr>
        <w:t>(рис 1-17)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представляет собой комплекс механизмов, собранных в автоматизированную технологическую линию, предназначенную для транспортировки топлива от разгрузочного устройства или склада в бункеры котельных агрегатов с предварительной подготовкой топлива к сжиганию (очистка от посторонних примесей, дробление до размеров, установленных ПТЭ, взвешивание на ленточных весах и отбор проб на анализ топлива).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На топливоподаче предусмотрены следующие режимы работы: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- подача угля от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вагоноопрокидывателя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до бункеров сырого угля;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- подача угля от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вагоноопрокидывателя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на угольный склад;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lastRenderedPageBreak/>
        <w:t>- подача угля с угольного склада в бункеры сырого угля.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Топливоподача включает в себя следующие механизмы: приёмно-разгрузочные устройства, питатели, ленточные конвейеры, дробилки мелкого дробления (ДМД),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металлоуловители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,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плужковые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сбрасыватели, ленточные весы, обеспыливающие и вентиляционные установки, дренажные насосы, а также системы хозяйственного и противопожарного водопровода, систему отопления и паропровода, систему автоматического управления, тепловые завесы.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Приёмно-разгрузочное устройство включает в себя два роторных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трехопорных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вагоноопрокидывателя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грузоподъемностью 150 т и производительностью 1800 т/ч БРС-134 ст. №№ 1, 2, оборудованных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электротолкателем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и 2-мя дробильно-фрезерными машинами ДФМ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noBreakHyphen/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II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. Управление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вагоноопрокидывателями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производят с пульта, находящегося в здании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вагоноопрокидывателя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. Вагон наталкивается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электротолкателем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или локомотивом на платформу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вагоноопрокидывателя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. После разгрузки порожний вагон выталкивается из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вагоноопрокидывателя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последующим вагоном к месту сборки порожняка.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Тракт топливоподачи начиная с ленточного конвейера ЛК-1А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,Б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до бункерной галереи имеет две самостоятельные технологические линии. Для более надежного резервирования топливоснабжения имеются перекрестные узлы пересыпки, позволяющие собрать технологическую линию из отдельных элементов разных ниток. Также возможна подача топлива в бункеры сырого угля (БСУ) обводными течками помимо дробилок. Тракт топливоподачи, подающий топливо на склад и со склада от и до ЛК-2А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,Б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выполнен однониточным.</w:t>
      </w:r>
    </w:p>
    <w:p w:rsidR="00DF58D8" w:rsidRPr="00DF58D8" w:rsidRDefault="00DF58D8" w:rsidP="00DF58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8D8">
        <w:rPr>
          <w:rFonts w:ascii="Tahoma" w:eastAsia="Times New Roman" w:hAnsi="Tahoma" w:cs="Tahoma"/>
          <w:color w:val="424242"/>
          <w:sz w:val="25"/>
          <w:szCs w:val="25"/>
        </w:rPr>
        <w:br/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pict>
          <v:shape id="_x0000_i1027" type="#_x0000_t75" alt="" style="width:24.3pt;height:24.3pt"/>
        </w:pic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 Рис. 1-18 "Схема тракта топливоподачи".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Где: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В/О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-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вагоноопрокид</w:t>
      </w:r>
      <w:proofErr w:type="spellEnd"/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КП - 1:2-Качающей питатель;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АУ - 1:2-Аспирационная установка;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ДН - 1:2-Дренажный насос;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ПС -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Плужковый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сбрасыватель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lastRenderedPageBreak/>
        <w:t> 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Из приемных бункеров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вагоноопрокидывателей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с помощью ленточных питателей уголь поступает в течку конвейера ЛК-1 (две нитки). Далее ленточным конвейером ЛК-2 (две нитки), относящимся к эстакаде I подъема, топливо транспортируется в здание двухблочного дробильного корпуса, где оно может быть направлено либо в молотковые дробилки мелкого дробления (ДМД «А» и ДМД «Б»), либо с помощью двухсторонних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плужковых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сбрасывателей на конвейер ЛК-5/1, транспортирующий уголь на склад. В узле пересыпки конвейеров ЛК-1 предусмотрена возможность перекрестной подачи топлива с помощью шиберов конвейеров ЛК-1 на ЛК-2</w:t>
      </w:r>
      <w:r w:rsidRPr="00DF58D8">
        <w:rPr>
          <w:rFonts w:ascii="Verdana" w:eastAsia="Times New Roman" w:hAnsi="Verdana" w:cs="Times New Roman"/>
          <w:b/>
          <w:bCs/>
          <w:color w:val="424242"/>
          <w:sz w:val="25"/>
        </w:rPr>
        <w:t>.(рис 1-18)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Каждая нитка ЛК-2А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,Б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подаёт топливо только в свою ДМД. Из дробилки топливо поступает на соответствующую нитку конвейеров ЛК-3А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,Б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второго подъёма (эстакада II подъема). Мелкий уголь можно подавать помимо ДМД через обводную трубу при помощи шибера. В аварийных случаях также возможна подача угля через обводные трубы.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Конвейерами ЛК-3А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,Б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топливо подается в башню пересыпки главного корпуса. В башне пересыпки возможна перекрёстная подача угля при помощи шиберов с любой нитки ЛК-3А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,Б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на один из конвейеров ЛК-4А,Б бункерной. Ленточные конвейеры 4А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,Б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транспортируют уголь вдоль бункерной галереи, где с помощью односторонних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плужковых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сбрасывателей загружаются бункеры сырого угля котлов.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Транспортировка топлива на склад осуществляется ленточными конвейерами ЛК-5/1 и ЛК-5/2 с помощью двухсторонних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плужковых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сбрасывателей с конвейеров ЛК-2А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,Б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на ЛК-5/1.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Со склада уголь подается бульдозерами в загрузочные бункеры конвейеров ЛК-6, ЛК-7, ЛК-9 и затем с помощью качающихся питателей КП-1…КП-10 пересыпается на конвейеры. Конвейером ЛК-6 уголь подается на узел пересыпки ЛК-2 и далее в котельное отделение. С конвейера ЛК-9 уголь пересыпается на ЛК-7. С конвейера ЛК-7 уголь пересыпается на конвейер ЛК-8 и далее с помощью перекидного шибера – избирательно на любую нитку конвейеров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br/>
        <w:t>ЛК-2А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,Б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Угольный склад - открытого типа </w:t>
      </w:r>
      <w:r w:rsidRPr="00DF58D8">
        <w:rPr>
          <w:rFonts w:ascii="Verdana" w:eastAsia="Times New Roman" w:hAnsi="Verdana" w:cs="Times New Roman"/>
          <w:b/>
          <w:bCs/>
          <w:color w:val="424242"/>
          <w:sz w:val="25"/>
        </w:rPr>
        <w:t>(Рис 1-19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). Неснижаемый резерв угля на складе составляет 220 тыс. т, проектная емкость – 270 тысяч тонн. Топливо на складе постепенно обновляется: часть его периодически отправляется в котельное отделение для сжигания; взамен на склад из вагонов выгружается вновь 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lastRenderedPageBreak/>
        <w:t xml:space="preserve">прибывшее топливо, распределяемое на угольном поле при помощи бульдозера. Склад не предназначен для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помарочного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складирования углей.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Управление механизмами и выбор режима работы топливоподачи осуществляется с центрального щита управления, расположенного в дробильном корпусе.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Металлоулавливание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из потока угля производится с помощью подвесных электромагнитных сепараторов, установленных на конвейерах ЛК-1А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,Б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и ЛК-2А,Б, по 2-х ступенчатой схеме.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Отапливаемые наклонные галереи топливоподачи и узлы пересыпки оборудованы устройствами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гидросмыва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, позволяющими убирать пыль и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просыпи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топлива. Для откачки воды из узлов пересыпки имеются приямки, оборудованные дренажными насосами.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Все места примыкания отапливаемых галерей к узлам пересыпки оборудованы дренажными противопожарными завесами.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Для 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взвешивания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поступающего в БСУ угля установлены электронные ленточные весы типа ВК-1 на конвейерах ЛК-3А и ЛК-3Б.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.</w:t>
      </w:r>
    </w:p>
    <w:p w:rsidR="00DF58D8" w:rsidRPr="00DF58D8" w:rsidRDefault="00DF58D8" w:rsidP="00DF58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8D8">
        <w:rPr>
          <w:rFonts w:ascii="Tahoma" w:eastAsia="Times New Roman" w:hAnsi="Tahoma" w:cs="Tahoma"/>
          <w:color w:val="424242"/>
          <w:sz w:val="25"/>
          <w:szCs w:val="25"/>
        </w:rPr>
        <w:br/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Табл. "Характеристики ленточных конвейеров".</w:t>
      </w:r>
    </w:p>
    <w:tbl>
      <w:tblPr>
        <w:tblW w:w="0" w:type="auto"/>
        <w:tblCellSpacing w:w="15" w:type="dxa"/>
        <w:tblInd w:w="16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1"/>
        <w:gridCol w:w="640"/>
        <w:gridCol w:w="702"/>
        <w:gridCol w:w="794"/>
        <w:gridCol w:w="746"/>
        <w:gridCol w:w="764"/>
        <w:gridCol w:w="934"/>
        <w:gridCol w:w="642"/>
        <w:gridCol w:w="682"/>
        <w:gridCol w:w="851"/>
        <w:gridCol w:w="851"/>
        <w:gridCol w:w="851"/>
      </w:tblGrid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Номер конвейера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 xml:space="preserve">Длина, </w:t>
            </w:r>
            <w:proofErr w:type="gram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м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 xml:space="preserve">Ширина ленты, </w:t>
            </w:r>
            <w:proofErr w:type="gram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мм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Скорость, м/</w:t>
            </w:r>
            <w:proofErr w:type="gram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с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Угол наклона, град.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Произво-дитель-ность</w:t>
            </w:r>
            <w:proofErr w:type="spell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, т/ч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 xml:space="preserve">Мощность </w:t>
            </w:r>
            <w:proofErr w:type="spellStart"/>
            <w:proofErr w:type="gram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электродви-гателя</w:t>
            </w:r>
            <w:proofErr w:type="spellEnd"/>
            <w:proofErr w:type="gram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, кВт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proofErr w:type="gram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Напря-жение</w:t>
            </w:r>
            <w:proofErr w:type="spellEnd"/>
            <w:proofErr w:type="gram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, кВ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 xml:space="preserve">Число </w:t>
            </w:r>
            <w:proofErr w:type="spell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оборо-тов</w:t>
            </w:r>
            <w:proofErr w:type="spell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 xml:space="preserve">, </w:t>
            </w:r>
            <w:proofErr w:type="gram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об</w:t>
            </w:r>
            <w:proofErr w:type="gram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/мин.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Ср</w:t>
            </w:r>
            <w:proofErr w:type="gram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.с</w:t>
            </w:r>
            <w:proofErr w:type="gram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ут</w:t>
            </w:r>
            <w:proofErr w:type="spell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 xml:space="preserve">. </w:t>
            </w:r>
            <w:proofErr w:type="spell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испо-льзование</w:t>
            </w:r>
            <w:proofErr w:type="spell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 xml:space="preserve"> механизма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Коэфф</w:t>
            </w:r>
            <w:proofErr w:type="spell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 xml:space="preserve">. </w:t>
            </w:r>
            <w:proofErr w:type="spellStart"/>
            <w:proofErr w:type="gram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испо-льзования</w:t>
            </w:r>
            <w:proofErr w:type="spellEnd"/>
            <w:proofErr w:type="gram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 xml:space="preserve"> механизма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proofErr w:type="gram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Потре-бляемая</w:t>
            </w:r>
            <w:proofErr w:type="spellEnd"/>
            <w:proofErr w:type="gram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 xml:space="preserve"> мощность, кВт</w:t>
            </w: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lastRenderedPageBreak/>
              <w:t>1А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81,0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 ÷ 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proofErr w:type="gram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Периоди-чески</w:t>
            </w:r>
            <w:proofErr w:type="spellEnd"/>
            <w:proofErr w:type="gramEnd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. По 20 часов в сутки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103,8</w:t>
            </w: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1Б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81,0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 ÷ 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109,6</w:t>
            </w:r>
          </w:p>
        </w:tc>
        <w:tc>
          <w:tcPr>
            <w:tcW w:w="0" w:type="auto"/>
            <w:vAlign w:val="center"/>
            <w:hideMark/>
          </w:tcPr>
          <w:p w:rsidR="00DF58D8" w:rsidRPr="00DF58D8" w:rsidRDefault="00DF58D8" w:rsidP="00DF5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2,09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 ÷ 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6,0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207,5</w:t>
            </w:r>
          </w:p>
        </w:tc>
        <w:tc>
          <w:tcPr>
            <w:tcW w:w="0" w:type="auto"/>
            <w:vAlign w:val="center"/>
            <w:hideMark/>
          </w:tcPr>
          <w:p w:rsidR="00DF58D8" w:rsidRPr="00DF58D8" w:rsidRDefault="00DF58D8" w:rsidP="00DF5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2,09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 ÷ 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6,0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207,5</w:t>
            </w:r>
          </w:p>
        </w:tc>
        <w:tc>
          <w:tcPr>
            <w:tcW w:w="0" w:type="auto"/>
            <w:vAlign w:val="center"/>
            <w:hideMark/>
          </w:tcPr>
          <w:p w:rsidR="00DF58D8" w:rsidRPr="00DF58D8" w:rsidRDefault="00DF58D8" w:rsidP="00DF5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3А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2,09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 ÷ 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6,0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207,5</w:t>
            </w:r>
          </w:p>
        </w:tc>
        <w:tc>
          <w:tcPr>
            <w:tcW w:w="0" w:type="auto"/>
            <w:vAlign w:val="center"/>
            <w:hideMark/>
          </w:tcPr>
          <w:p w:rsidR="00DF58D8" w:rsidRPr="00DF58D8" w:rsidRDefault="00DF58D8" w:rsidP="00DF5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3Б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2,09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 ÷ 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6,0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207,5</w:t>
            </w:r>
          </w:p>
        </w:tc>
        <w:tc>
          <w:tcPr>
            <w:tcW w:w="0" w:type="auto"/>
            <w:vAlign w:val="center"/>
            <w:hideMark/>
          </w:tcPr>
          <w:p w:rsidR="00DF58D8" w:rsidRPr="00DF58D8" w:rsidRDefault="00DF58D8" w:rsidP="00DF5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4А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207,5</w:t>
            </w:r>
          </w:p>
        </w:tc>
        <w:tc>
          <w:tcPr>
            <w:tcW w:w="0" w:type="auto"/>
            <w:vAlign w:val="center"/>
            <w:hideMark/>
          </w:tcPr>
          <w:p w:rsidR="00DF58D8" w:rsidRPr="00DF58D8" w:rsidRDefault="00DF58D8" w:rsidP="00DF5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4Б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207,5</w:t>
            </w:r>
          </w:p>
        </w:tc>
        <w:tc>
          <w:tcPr>
            <w:tcW w:w="0" w:type="auto"/>
            <w:vAlign w:val="center"/>
            <w:hideMark/>
          </w:tcPr>
          <w:p w:rsidR="00DF58D8" w:rsidRPr="00DF58D8" w:rsidRDefault="00DF58D8" w:rsidP="00DF5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5/1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83,1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периодич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66,0</w:t>
            </w: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lastRenderedPageBreak/>
              <w:t>5/2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155,7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периодич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50,0</w:t>
            </w: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215,0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1,85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 ÷ 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периодич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30,0</w:t>
            </w: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138,0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1,84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 ÷ 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периодич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33,0</w:t>
            </w: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36,0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1,84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 ÷ 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периодич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60,0</w:t>
            </w:r>
          </w:p>
        </w:tc>
      </w:tr>
      <w:tr w:rsidR="00DF58D8" w:rsidRPr="00DF58D8" w:rsidTr="00DF58D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160,4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1,84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 ÷ 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proofErr w:type="spellStart"/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периодич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0,3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58D8" w:rsidRPr="00DF58D8" w:rsidRDefault="00DF58D8" w:rsidP="00DF58D8">
            <w:pPr>
              <w:spacing w:before="167" w:after="167" w:line="240" w:lineRule="auto"/>
              <w:ind w:left="167" w:right="167"/>
              <w:rPr>
                <w:rFonts w:ascii="Tahoma" w:eastAsia="Times New Roman" w:hAnsi="Tahoma" w:cs="Tahoma"/>
                <w:color w:val="424242"/>
                <w:sz w:val="25"/>
                <w:szCs w:val="25"/>
              </w:rPr>
            </w:pPr>
            <w:r w:rsidRPr="00DF58D8">
              <w:rPr>
                <w:rFonts w:ascii="Tahoma" w:eastAsia="Times New Roman" w:hAnsi="Tahoma" w:cs="Tahoma"/>
                <w:color w:val="424242"/>
                <w:sz w:val="25"/>
                <w:szCs w:val="25"/>
              </w:rPr>
              <w:t>30,0</w:t>
            </w:r>
          </w:p>
        </w:tc>
      </w:tr>
    </w:tbl>
    <w:p w:rsidR="00DF58D8" w:rsidRPr="00DF58D8" w:rsidRDefault="00DF58D8" w:rsidP="00DF58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8D8">
        <w:rPr>
          <w:rFonts w:ascii="Tahoma" w:eastAsia="Times New Roman" w:hAnsi="Tahoma" w:cs="Tahoma"/>
          <w:color w:val="424242"/>
          <w:sz w:val="25"/>
          <w:szCs w:val="25"/>
        </w:rPr>
        <w:br/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b/>
          <w:bCs/>
          <w:color w:val="424242"/>
          <w:sz w:val="25"/>
          <w:szCs w:val="25"/>
        </w:rPr>
        <w:pict>
          <v:shape id="_x0000_i1028" type="#_x0000_t75" alt="" style="width:24.3pt;height:24.3pt"/>
        </w:pic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b/>
          <w:bCs/>
          <w:color w:val="424242"/>
          <w:sz w:val="25"/>
        </w:rPr>
        <w:t>Рис 1-19 Угольное поле</w:t>
      </w:r>
    </w:p>
    <w:p w:rsidR="00DF58D8" w:rsidRPr="00DF58D8" w:rsidRDefault="00DF58D8" w:rsidP="00DF58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8D8">
        <w:rPr>
          <w:rFonts w:ascii="Tahoma" w:eastAsia="Times New Roman" w:hAnsi="Tahoma" w:cs="Tahoma"/>
          <w:color w:val="424242"/>
          <w:sz w:val="25"/>
          <w:szCs w:val="25"/>
        </w:rPr>
        <w:br/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b/>
          <w:bCs/>
          <w:color w:val="424242"/>
          <w:sz w:val="25"/>
        </w:rPr>
        <w:t>Общий анализ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b/>
          <w:bCs/>
          <w:color w:val="424242"/>
          <w:sz w:val="25"/>
        </w:rPr>
        <w:t>Взвешивание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Квалификация персонала ТТЦ позволяет вести учет количества поступающего в адрес ВТЭЦ-2 угля в соответствии с требованиями РД 34.09.105-96 на достаточно высоком уровне. Необходимые нормативные документы и инструкции имеются, их требования выполняются.</w:t>
      </w:r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Для обеспечения 100 %-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ного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входного контроля количества поступившего на ВТЭЦ-2 топлива используются либо </w:t>
      </w: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lastRenderedPageBreak/>
        <w:t xml:space="preserve">электронные, либо механические весы, исходя из занятости железнодорожных путей (подача вагонов 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на ж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/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д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путь № 1, где установлены электронные весы, ограничивается 25 вагонами). Весы проходят 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ежегодную</w:t>
      </w:r>
      <w:proofErr w:type="gram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Госповерку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. </w:t>
      </w:r>
      <w:proofErr w:type="gram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Механические весы обеспечивают ту же погрешность, что и электронные, не превышающую 1 % (ГОСТ 11830-66).</w:t>
      </w:r>
      <w:proofErr w:type="gramEnd"/>
    </w:p>
    <w:p w:rsidR="00DF58D8" w:rsidRPr="00DF58D8" w:rsidRDefault="00DF58D8" w:rsidP="00DF58D8">
      <w:pPr>
        <w:spacing w:before="251" w:after="251" w:line="240" w:lineRule="auto"/>
        <w:ind w:left="251" w:right="251"/>
        <w:rPr>
          <w:rFonts w:ascii="Verdana" w:eastAsia="Times New Roman" w:hAnsi="Verdana" w:cs="Times New Roman"/>
          <w:color w:val="424242"/>
          <w:sz w:val="25"/>
          <w:szCs w:val="25"/>
        </w:rPr>
      </w:pPr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Для измерения количества топлива, поступающего в бункера сырого угля котлов, используют конвейерные весы. На ВТЭЦ-2 применяют конвейерные весы типа ВК-1. двухканальной схемы позволяет получить приемлемые </w:t>
      </w:r>
      <w:proofErr w:type="spellStart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>точностные</w:t>
      </w:r>
      <w:proofErr w:type="spellEnd"/>
      <w:r w:rsidRPr="00DF58D8">
        <w:rPr>
          <w:rFonts w:ascii="Verdana" w:eastAsia="Times New Roman" w:hAnsi="Verdana" w:cs="Times New Roman"/>
          <w:color w:val="424242"/>
          <w:sz w:val="25"/>
          <w:szCs w:val="25"/>
        </w:rPr>
        <w:t xml:space="preserve"> характеристики в условиях эксплуатации.</w:t>
      </w:r>
    </w:p>
    <w:p w:rsidR="00E82369" w:rsidRDefault="00E82369"/>
    <w:sectPr w:rsidR="00E82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DF58D8"/>
    <w:rsid w:val="00DF58D8"/>
    <w:rsid w:val="00E82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5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F58D8"/>
    <w:rPr>
      <w:b/>
      <w:bCs/>
    </w:rPr>
  </w:style>
  <w:style w:type="character" w:styleId="a5">
    <w:name w:val="Hyperlink"/>
    <w:basedOn w:val="a0"/>
    <w:uiPriority w:val="99"/>
    <w:semiHidden/>
    <w:unhideWhenUsed/>
    <w:rsid w:val="00DF58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9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05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5143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927768735">
                          <w:marLeft w:val="113"/>
                          <w:marRight w:val="113"/>
                          <w:marTop w:val="113"/>
                          <w:marBottom w:val="113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12417457">
                              <w:marLeft w:val="0"/>
                              <w:marRight w:val="0"/>
                              <w:marTop w:val="0"/>
                              <w:marBottom w:val="88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150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7006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2756019">
                                  <w:marLeft w:val="167"/>
                                  <w:marRight w:val="167"/>
                                  <w:marTop w:val="167"/>
                                  <w:marBottom w:val="16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2589522">
                                      <w:marLeft w:val="0"/>
                                      <w:marRight w:val="0"/>
                                      <w:marTop w:val="251"/>
                                      <w:marBottom w:val="167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14673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400784">
                              <w:marLeft w:val="0"/>
                              <w:marRight w:val="0"/>
                              <w:marTop w:val="67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65281">
                          <w:marLeft w:val="113"/>
                          <w:marRight w:val="113"/>
                          <w:marTop w:val="113"/>
                          <w:marBottom w:val="113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2018730291">
                              <w:marLeft w:val="0"/>
                              <w:marRight w:val="0"/>
                              <w:marTop w:val="0"/>
                              <w:marBottom w:val="88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79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9977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0603883">
                                  <w:marLeft w:val="167"/>
                                  <w:marRight w:val="167"/>
                                  <w:marTop w:val="167"/>
                                  <w:marBottom w:val="16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9553376">
                                      <w:marLeft w:val="0"/>
                                      <w:marRight w:val="0"/>
                                      <w:marTop w:val="251"/>
                                      <w:marBottom w:val="167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1032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3598172">
                              <w:marLeft w:val="0"/>
                              <w:marRight w:val="0"/>
                              <w:marTop w:val="67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4170453">
                          <w:marLeft w:val="113"/>
                          <w:marRight w:val="113"/>
                          <w:marTop w:val="113"/>
                          <w:marBottom w:val="113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139463651">
                              <w:marLeft w:val="0"/>
                              <w:marRight w:val="0"/>
                              <w:marTop w:val="0"/>
                              <w:marBottom w:val="88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176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185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6447973">
                                  <w:marLeft w:val="167"/>
                                  <w:marRight w:val="167"/>
                                  <w:marTop w:val="167"/>
                                  <w:marBottom w:val="16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676902">
                                      <w:marLeft w:val="0"/>
                                      <w:marRight w:val="0"/>
                                      <w:marTop w:val="251"/>
                                      <w:marBottom w:val="167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4574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151633">
                              <w:marLeft w:val="0"/>
                              <w:marRight w:val="0"/>
                              <w:marTop w:val="67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344184">
                          <w:marLeft w:val="113"/>
                          <w:marRight w:val="113"/>
                          <w:marTop w:val="113"/>
                          <w:marBottom w:val="113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1948543917">
                              <w:marLeft w:val="0"/>
                              <w:marRight w:val="0"/>
                              <w:marTop w:val="0"/>
                              <w:marBottom w:val="88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282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3754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74649205">
                                  <w:marLeft w:val="167"/>
                                  <w:marRight w:val="167"/>
                                  <w:marTop w:val="167"/>
                                  <w:marBottom w:val="16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894437">
                                      <w:marLeft w:val="0"/>
                                      <w:marRight w:val="0"/>
                                      <w:marTop w:val="251"/>
                                      <w:marBottom w:val="167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695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738271">
                              <w:marLeft w:val="0"/>
                              <w:marRight w:val="0"/>
                              <w:marTop w:val="67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teepto.com/ghits/9576077/i/75867/0/pp/4/1?h=F7s6o91YPwNIHpWPUtskvyJXjr8nlyIZH9T33WFWH6wQWriGJ4Hzub-nR9xB2GIa&amp;rid=25181e71-105a-11ec-851f-d094662c1c35&amp;ts=yandex.kz&amp;tt=Organic&amp;att=2&amp;cpm=1&amp;gbpp=1&amp;abd=1&amp;iv=10&amp;ct=6" TargetMode="External"/><Relationship Id="rId4" Type="http://schemas.openxmlformats.org/officeDocument/2006/relationships/hyperlink" Target="https://www.steepto.com/ghits/9576077/i/75867/0/pp/4/1?h=F7s6o91YPwNIHpWPUtskvyJXjr8nlyIZH9T33WFWH6wQWriGJ4Hzub-nR9xB2GIa&amp;rid=25181e71-105a-11ec-851f-d094662c1c35&amp;ts=yandex.kz&amp;tt=Organic&amp;att=2&amp;cpm=1&amp;gbpp=1&amp;abd=1&amp;iv=10&amp;ct=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2037</Words>
  <Characters>11616</Characters>
  <Application>Microsoft Office Word</Application>
  <DocSecurity>0</DocSecurity>
  <Lines>96</Lines>
  <Paragraphs>27</Paragraphs>
  <ScaleCrop>false</ScaleCrop>
  <Company>Hewlett-Packard</Company>
  <LinksUpToDate>false</LinksUpToDate>
  <CharactersWithSpaces>13626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2021-09-08T04:09:00Z</dcterms:created>
  <dcterms:modified xsi:type="dcterms:W3CDTF">2021-09-08T04:11:00Z</dcterms:modified>
</cp:coreProperties>
</file>